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94" w:rsidRPr="00F73A94" w:rsidRDefault="004117B8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D946BEF" wp14:editId="0799C4CB">
            <wp:extent cx="1438275" cy="1555115"/>
            <wp:effectExtent l="0" t="0" r="9525" b="6985"/>
            <wp:docPr id="1" name="Resim 1" descr="C:\Users\sezginerdogan\Desktop\DERNEK KURULUM MEVZUATI\YENİ LOGOLAR\TUYAND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sezginerdogan\Desktop\DERNEK KURULUM MEVZUATI\YENİ LOGOLAR\TUYANDE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A94" w:rsidRPr="00F73A94">
        <w:rPr>
          <w:rFonts w:ascii="Times New Roman" w:hAnsi="Times New Roman"/>
          <w:b/>
          <w:bCs/>
          <w:sz w:val="24"/>
          <w:szCs w:val="24"/>
        </w:rPr>
        <w:t xml:space="preserve">YENİ ALIM  2KG, 6 </w:t>
      </w:r>
      <w:proofErr w:type="gramStart"/>
      <w:r w:rsidR="00F73A94" w:rsidRPr="00F73A94">
        <w:rPr>
          <w:rFonts w:ascii="Times New Roman" w:hAnsi="Times New Roman"/>
          <w:b/>
          <w:bCs/>
          <w:sz w:val="24"/>
          <w:szCs w:val="24"/>
        </w:rPr>
        <w:t>KG , 12</w:t>
      </w:r>
      <w:proofErr w:type="gramEnd"/>
      <w:r w:rsidR="00F73A94" w:rsidRPr="00F73A94">
        <w:rPr>
          <w:rFonts w:ascii="Times New Roman" w:hAnsi="Times New Roman"/>
          <w:b/>
          <w:bCs/>
          <w:sz w:val="24"/>
          <w:szCs w:val="24"/>
        </w:rPr>
        <w:t xml:space="preserve"> KG  KURU KİMYEVİ TOZLU PORTATİF YANGIN SÖNDÜRME CİHAZI ALIMI VE TEKNİK ŞARTNAMESİ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Kurumumuzun ihtiyacı olan 2 kg , 6 kg  , 12 </w:t>
      </w:r>
      <w:proofErr w:type="spellStart"/>
      <w:r w:rsidRPr="00F73A94">
        <w:rPr>
          <w:rFonts w:ascii="Times New Roman" w:hAnsi="Times New Roman"/>
          <w:sz w:val="24"/>
          <w:szCs w:val="24"/>
        </w:rPr>
        <w:t>kgkuru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kimyevi tozlu yangın söndürme cihazlarının alarmı </w:t>
      </w:r>
      <w:proofErr w:type="spellStart"/>
      <w:r w:rsidRPr="00F73A94">
        <w:rPr>
          <w:rFonts w:ascii="Times New Roman" w:hAnsi="Times New Roman"/>
          <w:sz w:val="24"/>
          <w:szCs w:val="24"/>
        </w:rPr>
        <w:t>aşagıda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belirtilen hususlar dikkate alınarak yapılacaktır.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>1.Kuru kimyevi tozlu yangın söndürme cihazları ICS 13.220.10- TS 862-7 EN 3-7 + A1 standartlarına uygun olmalı yangın söndürme maddesi kuru kimyevi tozun TS EN 615 standartlarına uygun olacaktır.6 kg toz alabilecek kapasitede kullanılmaya hazır olacaktır.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2.Teklif verecek </w:t>
      </w:r>
      <w:proofErr w:type="spellStart"/>
      <w:r w:rsidRPr="00F73A94">
        <w:rPr>
          <w:rFonts w:ascii="Times New Roman" w:hAnsi="Times New Roman"/>
          <w:sz w:val="24"/>
          <w:szCs w:val="24"/>
        </w:rPr>
        <w:t>firmaların,satış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sonrasında,cihazların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dolum,bakım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F73A94">
        <w:rPr>
          <w:rFonts w:ascii="Times New Roman" w:hAnsi="Times New Roman"/>
          <w:sz w:val="24"/>
          <w:szCs w:val="24"/>
        </w:rPr>
        <w:t>servishizmetlerini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yapabilecegi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TS-HYB 11827 standardına uygun bir tesise sahip olduklarını ve standarda uygun şartlarda satış sonrası </w:t>
      </w:r>
      <w:proofErr w:type="spellStart"/>
      <w:r w:rsidRPr="00F73A94">
        <w:rPr>
          <w:rFonts w:ascii="Times New Roman" w:hAnsi="Times New Roman"/>
          <w:sz w:val="24"/>
          <w:szCs w:val="24"/>
        </w:rPr>
        <w:t>dolm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bakım servis hizmeti verebileceklerini gösteren hizmet yeterlilik belgesine olmaları </w:t>
      </w:r>
      <w:proofErr w:type="spellStart"/>
      <w:r w:rsidRPr="00F73A94">
        <w:rPr>
          <w:rFonts w:ascii="Times New Roman" w:hAnsi="Times New Roman"/>
          <w:sz w:val="24"/>
          <w:szCs w:val="24"/>
        </w:rPr>
        <w:t>zorunludur.Bu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belgeye sahip olmayanların teklifleri dikkate alınmayacaktır.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3.Yangın </w:t>
      </w:r>
      <w:proofErr w:type="spellStart"/>
      <w:r w:rsidRPr="00F73A94">
        <w:rPr>
          <w:rFonts w:ascii="Times New Roman" w:hAnsi="Times New Roman"/>
          <w:sz w:val="24"/>
          <w:szCs w:val="24"/>
        </w:rPr>
        <w:t>södürme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cihazlarının içindeki tozun Mono amonyum fosfat oranı %40 dan az olmamalı veya yangın söndürme cihazının üzerindeki etikete belirtilen yangın beyan </w:t>
      </w:r>
      <w:proofErr w:type="spellStart"/>
      <w:r w:rsidRPr="00F73A94">
        <w:rPr>
          <w:rFonts w:ascii="Times New Roman" w:hAnsi="Times New Roman"/>
          <w:sz w:val="24"/>
          <w:szCs w:val="24"/>
        </w:rPr>
        <w:t>degerleri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, 21 A </w:t>
      </w:r>
      <w:proofErr w:type="spellStart"/>
      <w:r w:rsidRPr="00F73A94">
        <w:rPr>
          <w:rFonts w:ascii="Times New Roman" w:hAnsi="Times New Roman"/>
          <w:sz w:val="24"/>
          <w:szCs w:val="24"/>
        </w:rPr>
        <w:t>beya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113 B söndürme performansını 1 tanesini </w:t>
      </w:r>
      <w:proofErr w:type="spellStart"/>
      <w:r w:rsidRPr="00F73A94">
        <w:rPr>
          <w:rFonts w:ascii="Times New Roman" w:hAnsi="Times New Roman"/>
          <w:sz w:val="24"/>
          <w:szCs w:val="24"/>
        </w:rPr>
        <w:t>karşılamalı.ABC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sınıfı yangınlara karşı kesin etkili ve TS-EN 615 standartlarına uygun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olmalıdır.Kullanılan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toza ait TSE veya İSO belgesi veya üretici firmadan alınan analiz raporu verilmelidir.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4.Yüklenici </w:t>
      </w:r>
      <w:proofErr w:type="spellStart"/>
      <w:r w:rsidRPr="00F73A94">
        <w:rPr>
          <w:rFonts w:ascii="Times New Roman" w:hAnsi="Times New Roman"/>
          <w:sz w:val="24"/>
          <w:szCs w:val="24"/>
        </w:rPr>
        <w:t>firma,satış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sonrası dolum bakım muayene ve servis hizmetlerini, ICS 13.220.10. TS ISO 11602-2 standartlarına uygun olarak </w:t>
      </w:r>
      <w:proofErr w:type="spellStart"/>
      <w:r w:rsidRPr="00F73A94">
        <w:rPr>
          <w:rFonts w:ascii="Times New Roman" w:hAnsi="Times New Roman"/>
          <w:sz w:val="24"/>
          <w:szCs w:val="24"/>
        </w:rPr>
        <w:t>yapılacaktır.Bu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işlemleri TS-HYB 11827 Hizmet Yeterlilik Belgesinde belirtilen iş yeri adresinde </w:t>
      </w:r>
      <w:proofErr w:type="spellStart"/>
      <w:r w:rsidRPr="00F73A94">
        <w:rPr>
          <w:rFonts w:ascii="Times New Roman" w:hAnsi="Times New Roman"/>
          <w:sz w:val="24"/>
          <w:szCs w:val="24"/>
        </w:rPr>
        <w:t>yapılacaktır.Yüklenici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firma dolum ve bakım işlemini başka firma düzenlenmiş yetki belgesiyle veya beyan ettiği adresin dışında başka adreslerde </w:t>
      </w:r>
      <w:proofErr w:type="spellStart"/>
      <w:r w:rsidRPr="00F73A94">
        <w:rPr>
          <w:rFonts w:ascii="Times New Roman" w:hAnsi="Times New Roman"/>
          <w:sz w:val="24"/>
          <w:szCs w:val="24"/>
        </w:rPr>
        <w:t>yapamaz.Böyle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bir durumun tespit edilmesi halinde taraflar arasında imzalanan sözleşme tek taraflı olarak </w:t>
      </w:r>
      <w:proofErr w:type="spellStart"/>
      <w:r w:rsidRPr="00F73A94">
        <w:rPr>
          <w:rFonts w:ascii="Times New Roman" w:hAnsi="Times New Roman"/>
          <w:sz w:val="24"/>
          <w:szCs w:val="24"/>
        </w:rPr>
        <w:t>fesh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edilir ve </w:t>
      </w:r>
      <w:proofErr w:type="spellStart"/>
      <w:r w:rsidRPr="00F73A94">
        <w:rPr>
          <w:rFonts w:ascii="Times New Roman" w:hAnsi="Times New Roman"/>
          <w:sz w:val="24"/>
          <w:szCs w:val="24"/>
        </w:rPr>
        <w:t>yükleniic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firma </w:t>
      </w:r>
      <w:proofErr w:type="spellStart"/>
      <w:r w:rsidRPr="00F73A94">
        <w:rPr>
          <w:rFonts w:ascii="Times New Roman" w:hAnsi="Times New Roman"/>
          <w:sz w:val="24"/>
          <w:szCs w:val="24"/>
        </w:rPr>
        <w:t>harhangi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bir hak talep edemez.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5.Cihazların gövdesi en az 1,5 mm </w:t>
      </w:r>
      <w:proofErr w:type="spellStart"/>
      <w:r w:rsidRPr="00F73A94">
        <w:rPr>
          <w:rFonts w:ascii="Times New Roman" w:hAnsi="Times New Roman"/>
          <w:sz w:val="24"/>
          <w:szCs w:val="24"/>
        </w:rPr>
        <w:t>kalınlıgında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olmalı,A1/7114 kalite sıvama saçtan </w:t>
      </w:r>
      <w:proofErr w:type="spellStart"/>
      <w:r w:rsidRPr="00F73A94">
        <w:rPr>
          <w:rFonts w:ascii="Times New Roman" w:hAnsi="Times New Roman"/>
          <w:sz w:val="24"/>
          <w:szCs w:val="24"/>
        </w:rPr>
        <w:t>üretilmeli;test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Basıncı 30 </w:t>
      </w:r>
      <w:proofErr w:type="spellStart"/>
      <w:r w:rsidRPr="00F73A94">
        <w:rPr>
          <w:rFonts w:ascii="Times New Roman" w:hAnsi="Times New Roman"/>
          <w:sz w:val="24"/>
          <w:szCs w:val="24"/>
        </w:rPr>
        <w:t>bar;patlatma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test basıncı minimum 80 </w:t>
      </w:r>
      <w:proofErr w:type="spellStart"/>
      <w:r w:rsidRPr="00F73A94">
        <w:rPr>
          <w:rFonts w:ascii="Times New Roman" w:hAnsi="Times New Roman"/>
          <w:sz w:val="24"/>
          <w:szCs w:val="24"/>
        </w:rPr>
        <w:t>bar,maksimum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90 bar olmalıdır.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6.Cihazların gövdesinde </w:t>
      </w:r>
      <w:proofErr w:type="spellStart"/>
      <w:r w:rsidRPr="00F73A94">
        <w:rPr>
          <w:rFonts w:ascii="Times New Roman" w:hAnsi="Times New Roman"/>
          <w:sz w:val="24"/>
          <w:szCs w:val="24"/>
        </w:rPr>
        <w:t>soguk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damgalı TSE ve CE amblemi imalat yılı, seri </w:t>
      </w:r>
      <w:proofErr w:type="spellStart"/>
      <w:r w:rsidRPr="00F73A94">
        <w:rPr>
          <w:rFonts w:ascii="Times New Roman" w:hAnsi="Times New Roman"/>
          <w:sz w:val="24"/>
          <w:szCs w:val="24"/>
        </w:rPr>
        <w:t>numarası,tüpün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dolu ve boş </w:t>
      </w:r>
      <w:proofErr w:type="spellStart"/>
      <w:r w:rsidRPr="00F73A94">
        <w:rPr>
          <w:rFonts w:ascii="Times New Roman" w:hAnsi="Times New Roman"/>
          <w:sz w:val="24"/>
          <w:szCs w:val="24"/>
        </w:rPr>
        <w:t>agırlıgı,imalatçı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firmanın kısa adı ve tescil edilmiş markası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olmalı,cihazın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üzerinde üretici firmanın etiketi bulunmalıdır.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lastRenderedPageBreak/>
        <w:t xml:space="preserve">7.Yangın söndürme cihazı 2 yıl boyunca imalatçı firmanın yangın beyan </w:t>
      </w:r>
      <w:proofErr w:type="spellStart"/>
      <w:r w:rsidRPr="00F73A94">
        <w:rPr>
          <w:rFonts w:ascii="Times New Roman" w:hAnsi="Times New Roman"/>
          <w:sz w:val="24"/>
          <w:szCs w:val="24"/>
        </w:rPr>
        <w:t>degerlerini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gösteren orijinal etiketi ile garantisi altında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olmalıdır,ancak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üretici </w:t>
      </w:r>
      <w:proofErr w:type="spellStart"/>
      <w:r w:rsidRPr="00F73A94">
        <w:rPr>
          <w:rFonts w:ascii="Times New Roman" w:hAnsi="Times New Roman"/>
          <w:sz w:val="24"/>
          <w:szCs w:val="24"/>
        </w:rPr>
        <w:t>olmayan.Yetkili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satıcı firma cihazın yangın beyan </w:t>
      </w:r>
      <w:proofErr w:type="spellStart"/>
      <w:r w:rsidRPr="00F73A94">
        <w:rPr>
          <w:rFonts w:ascii="Times New Roman" w:hAnsi="Times New Roman"/>
          <w:sz w:val="24"/>
          <w:szCs w:val="24"/>
        </w:rPr>
        <w:t>degerlerinş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gösteren kendi etiketini </w:t>
      </w:r>
      <w:proofErr w:type="spellStart"/>
      <w:r w:rsidRPr="00F73A94">
        <w:rPr>
          <w:rFonts w:ascii="Times New Roman" w:hAnsi="Times New Roman"/>
          <w:sz w:val="24"/>
          <w:szCs w:val="24"/>
        </w:rPr>
        <w:t>yapıstırabilir.söndürme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maddesinin yasal </w:t>
      </w:r>
      <w:proofErr w:type="spellStart"/>
      <w:r w:rsidRPr="00F73A94">
        <w:rPr>
          <w:rFonts w:ascii="Times New Roman" w:hAnsi="Times New Roman"/>
          <w:sz w:val="24"/>
          <w:szCs w:val="24"/>
        </w:rPr>
        <w:t>sorumlulugunu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üzerine alır. Cihazın söndürme maddesi imalatçı firma sorumluluğundan </w:t>
      </w:r>
      <w:proofErr w:type="spellStart"/>
      <w:r w:rsidRPr="00F73A94">
        <w:rPr>
          <w:rFonts w:ascii="Times New Roman" w:hAnsi="Times New Roman"/>
          <w:sz w:val="24"/>
          <w:szCs w:val="24"/>
        </w:rPr>
        <w:t>cıkar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yetkili satıcı firmanın </w:t>
      </w:r>
      <w:proofErr w:type="spellStart"/>
      <w:r w:rsidRPr="00F73A94">
        <w:rPr>
          <w:rFonts w:ascii="Times New Roman" w:hAnsi="Times New Roman"/>
          <w:sz w:val="24"/>
          <w:szCs w:val="24"/>
        </w:rPr>
        <w:t>sorumluluguna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girer.Yangın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söndürme cihazın gövdesi üretim tarihinden itibaren 2 yıl boyunca imalatçı firma </w:t>
      </w:r>
      <w:proofErr w:type="spellStart"/>
      <w:r w:rsidRPr="00F73A94">
        <w:rPr>
          <w:rFonts w:ascii="Times New Roman" w:hAnsi="Times New Roman"/>
          <w:sz w:val="24"/>
          <w:szCs w:val="24"/>
        </w:rPr>
        <w:t>sorumlulugundadır</w:t>
      </w:r>
      <w:proofErr w:type="spellEnd"/>
      <w:r w:rsidRPr="00F73A94">
        <w:rPr>
          <w:rFonts w:ascii="Times New Roman" w:hAnsi="Times New Roman"/>
          <w:sz w:val="24"/>
          <w:szCs w:val="24"/>
        </w:rPr>
        <w:t>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8.Söndürücülerin hortumları TSE 745 standartlarına uygun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olmalı,üzerinde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Orijinal baskılı TSE ve CE amblemi olmayanlar kabul </w:t>
      </w:r>
      <w:proofErr w:type="spellStart"/>
      <w:r w:rsidRPr="00F73A94">
        <w:rPr>
          <w:rFonts w:ascii="Times New Roman" w:hAnsi="Times New Roman"/>
          <w:sz w:val="24"/>
          <w:szCs w:val="24"/>
        </w:rPr>
        <w:t>edilmeyecektir.İthal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edilen cihazlar için bu kapsam </w:t>
      </w:r>
      <w:proofErr w:type="spellStart"/>
      <w:r w:rsidRPr="00F73A94">
        <w:rPr>
          <w:rFonts w:ascii="Times New Roman" w:hAnsi="Times New Roman"/>
          <w:sz w:val="24"/>
          <w:szCs w:val="24"/>
        </w:rPr>
        <w:t>gecerli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degildir</w:t>
      </w:r>
      <w:proofErr w:type="spellEnd"/>
      <w:r w:rsidRPr="00F73A94">
        <w:rPr>
          <w:rFonts w:ascii="Times New Roman" w:hAnsi="Times New Roman"/>
          <w:sz w:val="24"/>
          <w:szCs w:val="24"/>
        </w:rPr>
        <w:t>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9.Söndürücülerin </w:t>
      </w:r>
      <w:proofErr w:type="spellStart"/>
      <w:r w:rsidRPr="00F73A94">
        <w:rPr>
          <w:rFonts w:ascii="Times New Roman" w:hAnsi="Times New Roman"/>
          <w:sz w:val="24"/>
          <w:szCs w:val="24"/>
        </w:rPr>
        <w:t>çalısma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duzeni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içten basınçlı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olmalı,tetik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üzerinde emniyet sigortası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olmalı,tetik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ve vana üzerinde emniyet sigortası ve basıncı gösteren manometresi olmayan cihazlar kabul edilmeyecektir.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10.Söndürücülerin dış yüzeyleri 0.70 mikron </w:t>
      </w:r>
      <w:proofErr w:type="spellStart"/>
      <w:r w:rsidRPr="00F73A94">
        <w:rPr>
          <w:rFonts w:ascii="Times New Roman" w:hAnsi="Times New Roman"/>
          <w:sz w:val="24"/>
          <w:szCs w:val="24"/>
        </w:rPr>
        <w:t>elektorstatik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RAL 3000 kırmızı renk boyalı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olmalı,çatlak,pürüz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karıncalanma vb. gibi kusurları bulunmamalıdır.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11.Üzerinde elektrik akımı geçen yerlerde bulunan cihazlarda minimum 1 metre mesafeden </w:t>
      </w:r>
      <w:proofErr w:type="spellStart"/>
      <w:r w:rsidRPr="00F73A94">
        <w:rPr>
          <w:rFonts w:ascii="Times New Roman" w:hAnsi="Times New Roman"/>
          <w:sz w:val="24"/>
          <w:szCs w:val="24"/>
        </w:rPr>
        <w:t>kullanıldıgında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1000 volta kadar </w:t>
      </w:r>
      <w:proofErr w:type="spellStart"/>
      <w:r w:rsidRPr="00F73A94">
        <w:rPr>
          <w:rFonts w:ascii="Times New Roman" w:hAnsi="Times New Roman"/>
          <w:sz w:val="24"/>
          <w:szCs w:val="24"/>
        </w:rPr>
        <w:t>elektirigi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iletmeyecek özellikte olmalıdır.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12.Yangın söndürme </w:t>
      </w:r>
      <w:proofErr w:type="spellStart"/>
      <w:r w:rsidRPr="00F73A94">
        <w:rPr>
          <w:rFonts w:ascii="Times New Roman" w:hAnsi="Times New Roman"/>
          <w:sz w:val="24"/>
          <w:szCs w:val="24"/>
        </w:rPr>
        <w:t>cihazı,içindeki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kuru kimyevi tozu 15-20 bar </w:t>
      </w:r>
      <w:proofErr w:type="spellStart"/>
      <w:r w:rsidRPr="00F73A94">
        <w:rPr>
          <w:rFonts w:ascii="Times New Roman" w:hAnsi="Times New Roman"/>
          <w:sz w:val="24"/>
          <w:szCs w:val="24"/>
        </w:rPr>
        <w:t>arasıda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atmosfer basınçla dışarı püskürtebilmeli ve püskürtme </w:t>
      </w:r>
      <w:proofErr w:type="spellStart"/>
      <w:r w:rsidRPr="00F73A94">
        <w:rPr>
          <w:rFonts w:ascii="Times New Roman" w:hAnsi="Times New Roman"/>
          <w:sz w:val="24"/>
          <w:szCs w:val="24"/>
        </w:rPr>
        <w:t>uzaklıgı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2 metreden az olmamalı.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13.Yüklenici firma ile İŞVEREN </w:t>
      </w:r>
      <w:proofErr w:type="spellStart"/>
      <w:r w:rsidRPr="00F73A94">
        <w:rPr>
          <w:rFonts w:ascii="Times New Roman" w:hAnsi="Times New Roman"/>
          <w:sz w:val="24"/>
          <w:szCs w:val="24"/>
        </w:rPr>
        <w:t>arasında,verilecek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hizmetin kapsamında yangın söndürme cihazlarının dolum ve bakımları 2 yılda bir </w:t>
      </w:r>
      <w:proofErr w:type="spellStart"/>
      <w:r w:rsidRPr="00F73A94">
        <w:rPr>
          <w:rFonts w:ascii="Times New Roman" w:hAnsi="Times New Roman"/>
          <w:sz w:val="24"/>
          <w:szCs w:val="24"/>
        </w:rPr>
        <w:t>yapılacaktır.Bu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kapsamda cihazların rutin </w:t>
      </w:r>
      <w:proofErr w:type="spellStart"/>
      <w:r w:rsidRPr="00F73A94">
        <w:rPr>
          <w:rFonts w:ascii="Times New Roman" w:hAnsi="Times New Roman"/>
          <w:sz w:val="24"/>
          <w:szCs w:val="24"/>
        </w:rPr>
        <w:t>periodik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kontrolleri 6 aydan az </w:t>
      </w:r>
      <w:proofErr w:type="spellStart"/>
      <w:r w:rsidRPr="00F73A94">
        <w:rPr>
          <w:rFonts w:ascii="Times New Roman" w:hAnsi="Times New Roman"/>
          <w:sz w:val="24"/>
          <w:szCs w:val="24"/>
        </w:rPr>
        <w:t>olmayacak.Bir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yılı geçmeyecek düzende yapılması zorunludur.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>Periyodik bakım ve kontrolleri için TSE-</w:t>
      </w:r>
      <w:proofErr w:type="spellStart"/>
      <w:r w:rsidRPr="00F73A94">
        <w:rPr>
          <w:rFonts w:ascii="Times New Roman" w:hAnsi="Times New Roman"/>
          <w:sz w:val="24"/>
          <w:szCs w:val="24"/>
        </w:rPr>
        <w:t>HYb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11827 standardının 4-2-14 maddesine uygun şekilde </w:t>
      </w:r>
      <w:proofErr w:type="spellStart"/>
      <w:r w:rsidRPr="00F73A94">
        <w:rPr>
          <w:rFonts w:ascii="Times New Roman" w:hAnsi="Times New Roman"/>
          <w:sz w:val="24"/>
          <w:szCs w:val="24"/>
        </w:rPr>
        <w:t>karşılıkl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sorumluluklarının ve hizmet bedelinin ödeme şeklinin </w:t>
      </w:r>
      <w:proofErr w:type="spellStart"/>
      <w:r w:rsidRPr="00F73A94">
        <w:rPr>
          <w:rFonts w:ascii="Times New Roman" w:hAnsi="Times New Roman"/>
          <w:sz w:val="24"/>
          <w:szCs w:val="24"/>
        </w:rPr>
        <w:t>belirtildigi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bir sözleşme düzenlenecek karşılıklı olarak imzalanacaktır.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14.Garanti süresi içerisinde 2 yıl boyunca hatasından kaynaklanmayan ,aksaklıklar için daha önceden belirlenen </w:t>
      </w:r>
      <w:proofErr w:type="spellStart"/>
      <w:r w:rsidRPr="00F73A94">
        <w:rPr>
          <w:rFonts w:ascii="Times New Roman" w:hAnsi="Times New Roman"/>
          <w:sz w:val="24"/>
          <w:szCs w:val="24"/>
        </w:rPr>
        <w:t>bakım,kontrol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servis ücreti dışında ücret talep </w:t>
      </w:r>
      <w:proofErr w:type="spellStart"/>
      <w:r w:rsidRPr="00F73A94">
        <w:rPr>
          <w:rFonts w:ascii="Times New Roman" w:hAnsi="Times New Roman"/>
          <w:sz w:val="24"/>
          <w:szCs w:val="24"/>
        </w:rPr>
        <w:t>edilmeyecektir.Örnegin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2 yıl </w:t>
      </w:r>
      <w:proofErr w:type="spellStart"/>
      <w:r w:rsidRPr="00F73A94">
        <w:rPr>
          <w:rFonts w:ascii="Times New Roman" w:hAnsi="Times New Roman"/>
          <w:sz w:val="24"/>
          <w:szCs w:val="24"/>
        </w:rPr>
        <w:t>içerisinde,cihazın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içindeki itici gazı gösteren manometre cihaz kullanılmadan 0 (sıfıra) düşerse garanti kapsamında yapılacak.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15.Söndürücüler orijinal ambalajında </w:t>
      </w:r>
      <w:proofErr w:type="spellStart"/>
      <w:r w:rsidRPr="00F73A94">
        <w:rPr>
          <w:rFonts w:ascii="Times New Roman" w:hAnsi="Times New Roman"/>
          <w:sz w:val="24"/>
          <w:szCs w:val="24"/>
        </w:rPr>
        <w:t>olmalı,içerisindeki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baskı ile </w:t>
      </w:r>
      <w:proofErr w:type="spellStart"/>
      <w:r w:rsidRPr="00F73A94">
        <w:rPr>
          <w:rFonts w:ascii="Times New Roman" w:hAnsi="Times New Roman"/>
          <w:sz w:val="24"/>
          <w:szCs w:val="24"/>
        </w:rPr>
        <w:t>şekillendirilmis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duvara monte için askı </w:t>
      </w:r>
      <w:proofErr w:type="spellStart"/>
      <w:r w:rsidRPr="00F73A94">
        <w:rPr>
          <w:rFonts w:ascii="Times New Roman" w:hAnsi="Times New Roman"/>
          <w:sz w:val="24"/>
          <w:szCs w:val="24"/>
        </w:rPr>
        <w:t>demiri,vidası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ve dübeli bulunmalıdır.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16.İŞVEREN gerekli gördüğü </w:t>
      </w:r>
      <w:proofErr w:type="spellStart"/>
      <w:r w:rsidRPr="00F73A94">
        <w:rPr>
          <w:rFonts w:ascii="Times New Roman" w:hAnsi="Times New Roman"/>
          <w:sz w:val="24"/>
          <w:szCs w:val="24"/>
        </w:rPr>
        <w:t>hallderde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yangın söndürme </w:t>
      </w:r>
      <w:proofErr w:type="spellStart"/>
      <w:r w:rsidRPr="00F73A94">
        <w:rPr>
          <w:rFonts w:ascii="Times New Roman" w:hAnsi="Times New Roman"/>
          <w:sz w:val="24"/>
          <w:szCs w:val="24"/>
        </w:rPr>
        <w:t>cihazlarınnın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içerisinden rastgele </w:t>
      </w:r>
      <w:proofErr w:type="spellStart"/>
      <w:r w:rsidRPr="00F73A94">
        <w:rPr>
          <w:rFonts w:ascii="Times New Roman" w:hAnsi="Times New Roman"/>
          <w:sz w:val="24"/>
          <w:szCs w:val="24"/>
        </w:rPr>
        <w:t>seçecegi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%2 oranında yangın söndürme cihazının, TS EN 615 standardına </w:t>
      </w:r>
      <w:r w:rsidRPr="00F73A94">
        <w:rPr>
          <w:rFonts w:ascii="Times New Roman" w:hAnsi="Times New Roman"/>
          <w:sz w:val="24"/>
          <w:szCs w:val="24"/>
        </w:rPr>
        <w:lastRenderedPageBreak/>
        <w:t xml:space="preserve">uygun </w:t>
      </w:r>
      <w:proofErr w:type="spellStart"/>
      <w:r w:rsidRPr="00F73A94">
        <w:rPr>
          <w:rFonts w:ascii="Times New Roman" w:hAnsi="Times New Roman"/>
          <w:sz w:val="24"/>
          <w:szCs w:val="24"/>
        </w:rPr>
        <w:t>oldugunu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istedigi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kuruma ve kuruluşsa test </w:t>
      </w:r>
      <w:proofErr w:type="spellStart"/>
      <w:r w:rsidRPr="00F73A94">
        <w:rPr>
          <w:rFonts w:ascii="Times New Roman" w:hAnsi="Times New Roman"/>
          <w:sz w:val="24"/>
          <w:szCs w:val="24"/>
        </w:rPr>
        <w:t>ettirebilecek.Testte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kullanılan cihazlar ile test masrafları ürünün standarda uygun çıkmaması halinde üretici firma tarafından </w:t>
      </w:r>
      <w:proofErr w:type="spellStart"/>
      <w:r w:rsidRPr="00F73A94">
        <w:rPr>
          <w:rFonts w:ascii="Times New Roman" w:hAnsi="Times New Roman"/>
          <w:sz w:val="24"/>
          <w:szCs w:val="24"/>
        </w:rPr>
        <w:t>karşılanacak,yüklenici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firma ile yapılan sözleşme </w:t>
      </w:r>
      <w:proofErr w:type="spellStart"/>
      <w:r w:rsidRPr="00F73A94">
        <w:rPr>
          <w:rFonts w:ascii="Times New Roman" w:hAnsi="Times New Roman"/>
          <w:sz w:val="24"/>
          <w:szCs w:val="24"/>
        </w:rPr>
        <w:t>fesh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edilecek ve yüklenici firma verdiği hizmet için herhangi bir ücret talep </w:t>
      </w:r>
      <w:proofErr w:type="spellStart"/>
      <w:r w:rsidRPr="00F73A94">
        <w:rPr>
          <w:rFonts w:ascii="Times New Roman" w:hAnsi="Times New Roman"/>
          <w:sz w:val="24"/>
          <w:szCs w:val="24"/>
        </w:rPr>
        <w:t>edemeyecektir.Test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sonucunun standarda uygun olması halinde ise test üretici ve boşaltılan cihazların dolum bedeli İŞVEREN tarafından karşılanacaktır.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17.Yangın söndürme cihazının üzerine yapıştırılan etiket üzerinde </w:t>
      </w:r>
      <w:proofErr w:type="spellStart"/>
      <w:r w:rsidRPr="00F73A94">
        <w:rPr>
          <w:rFonts w:ascii="Times New Roman" w:hAnsi="Times New Roman"/>
          <w:sz w:val="24"/>
          <w:szCs w:val="24"/>
        </w:rPr>
        <w:t>bayn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edilen yangın beyan </w:t>
      </w:r>
      <w:proofErr w:type="spellStart"/>
      <w:r w:rsidRPr="00F73A94">
        <w:rPr>
          <w:rFonts w:ascii="Times New Roman" w:hAnsi="Times New Roman"/>
          <w:sz w:val="24"/>
          <w:szCs w:val="24"/>
        </w:rPr>
        <w:t>degerlerine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göre yangın performans deneyi yapılacak ve deney için ihtiyaç duyulan yanıcı madde ahşap (sarı meşe ağacından hazırlanacak) veya benzin İŞVEREN tarafından </w:t>
      </w:r>
      <w:proofErr w:type="spellStart"/>
      <w:r w:rsidRPr="00F73A94">
        <w:rPr>
          <w:rFonts w:ascii="Times New Roman" w:hAnsi="Times New Roman"/>
          <w:sz w:val="24"/>
          <w:szCs w:val="24"/>
        </w:rPr>
        <w:t>tederik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94">
        <w:rPr>
          <w:rFonts w:ascii="Times New Roman" w:hAnsi="Times New Roman"/>
          <w:sz w:val="24"/>
          <w:szCs w:val="24"/>
        </w:rPr>
        <w:t>edilecektir.Yangın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tavası vb. Gibi maddeler yüklenici firma tarafından temin </w:t>
      </w:r>
      <w:proofErr w:type="spellStart"/>
      <w:r w:rsidRPr="00F73A94">
        <w:rPr>
          <w:rFonts w:ascii="Times New Roman" w:hAnsi="Times New Roman"/>
          <w:sz w:val="24"/>
          <w:szCs w:val="24"/>
        </w:rPr>
        <w:t>edilecek,boşaltılan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cihazlar aynı özellikte kuru kimyevi toz ile ücretsiz doldurulacaktır.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>18.Teklif dosyasının içinde zorunlu olarak istenilecek sertifikalar ve belgeler şunlardır;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 xml:space="preserve">-Vergi </w:t>
      </w:r>
      <w:proofErr w:type="spellStart"/>
      <w:r w:rsidRPr="00F73A94">
        <w:rPr>
          <w:rFonts w:ascii="Times New Roman" w:hAnsi="Times New Roman" w:cs="Times New Roman"/>
          <w:sz w:val="22"/>
          <w:szCs w:val="22"/>
        </w:rPr>
        <w:t>Lehvası</w:t>
      </w:r>
      <w:proofErr w:type="spellEnd"/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-Ticaret odası kayıt belgesi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-Firma Yetkilileri imza sirküleri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-Yüklenici firmaya ait hizmet yeri yeterlilik TS-HYB-11827 belgesi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-Yüklenici firmaya ait ISO 9001 : 2008 kalite belgesi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-Yüklenici firmaya ait ISO 14001 : 2004 Çevre Yönetim belgesi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-Yüklenici firmaya ait OHSAS 18001 : 2007 İş sağlığı ve güvenliği belgesi</w:t>
      </w:r>
    </w:p>
    <w:p w:rsidR="00F73A94" w:rsidRPr="00F73A94" w:rsidRDefault="00F73A94" w:rsidP="00F73A94">
      <w:pPr>
        <w:jc w:val="both"/>
        <w:rPr>
          <w:rFonts w:ascii="Times New Roman" w:hAnsi="Times New Roman" w:cs="Times New Roman"/>
          <w:sz w:val="22"/>
          <w:szCs w:val="22"/>
        </w:rPr>
      </w:pPr>
      <w:r w:rsidRPr="00F73A94">
        <w:rPr>
          <w:rFonts w:ascii="Times New Roman" w:hAnsi="Times New Roman" w:cs="Times New Roman"/>
          <w:sz w:val="22"/>
          <w:szCs w:val="22"/>
        </w:rPr>
        <w:t>-Kullanılacak olan Kuru Kimyevi Toza Ait belgeler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>Taraflar 2 sayfa 18 maddeden oluşan şartnameyi okuduklarını ve aynen kabul ettiklerini belirterek her sayfasına kaşeleyip imzalanacaktır.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4117B8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..../..../2018</w:t>
      </w:r>
      <w:bookmarkStart w:id="0" w:name="_GoBack"/>
      <w:bookmarkEnd w:id="0"/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>Kurum yetkilisi kaşe imza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  <w:r w:rsidRPr="00F73A94">
        <w:rPr>
          <w:rFonts w:ascii="Times New Roman" w:hAnsi="Times New Roman"/>
          <w:sz w:val="24"/>
          <w:szCs w:val="24"/>
        </w:rPr>
        <w:t xml:space="preserve">Teklif veren firma </w:t>
      </w:r>
      <w:proofErr w:type="spellStart"/>
      <w:r w:rsidRPr="00F73A94">
        <w:rPr>
          <w:rFonts w:ascii="Times New Roman" w:hAnsi="Times New Roman"/>
          <w:sz w:val="24"/>
          <w:szCs w:val="24"/>
        </w:rPr>
        <w:t>yatkilisi</w:t>
      </w:r>
      <w:proofErr w:type="spellEnd"/>
      <w:r w:rsidRPr="00F73A94">
        <w:rPr>
          <w:rFonts w:ascii="Times New Roman" w:hAnsi="Times New Roman"/>
          <w:sz w:val="24"/>
          <w:szCs w:val="24"/>
        </w:rPr>
        <w:t xml:space="preserve"> kaşe ve imza</w:t>
      </w: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94" w:rsidRPr="00F73A94" w:rsidRDefault="00F73A94" w:rsidP="00F73A94">
      <w:pPr>
        <w:pStyle w:val="NormalWe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2CF8" w:rsidRPr="00F73A94" w:rsidRDefault="00912CF8" w:rsidP="00F73A94">
      <w:pPr>
        <w:jc w:val="both"/>
        <w:rPr>
          <w:rFonts w:ascii="Times New Roman" w:hAnsi="Times New Roman" w:cs="Times New Roman"/>
        </w:rPr>
      </w:pPr>
    </w:p>
    <w:sectPr w:rsidR="00912CF8" w:rsidRPr="00F73A94" w:rsidSect="00912C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94"/>
    <w:rsid w:val="004117B8"/>
    <w:rsid w:val="00912CF8"/>
    <w:rsid w:val="00F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A94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17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A94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17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Fikret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Kır</dc:creator>
  <cp:lastModifiedBy>AKADEMİ YANGIN</cp:lastModifiedBy>
  <cp:revision>2</cp:revision>
  <dcterms:created xsi:type="dcterms:W3CDTF">2018-09-10T10:13:00Z</dcterms:created>
  <dcterms:modified xsi:type="dcterms:W3CDTF">2018-09-10T10:13:00Z</dcterms:modified>
</cp:coreProperties>
</file>